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39" w:rsidRPr="0094769C" w:rsidRDefault="0094769C">
      <w:pPr>
        <w:jc w:val="center"/>
        <w:rPr>
          <w:rFonts w:ascii="Times New Roman" w:eastAsia="Times New Roman" w:hAnsi="Times New Roman" w:cs="Times New Roman"/>
          <w:b/>
          <w:sz w:val="24"/>
          <w:szCs w:val="24"/>
        </w:rPr>
      </w:pPr>
      <w:r w:rsidRPr="0094769C">
        <w:rPr>
          <w:rFonts w:ascii="Times New Roman" w:eastAsia="Times New Roman" w:hAnsi="Times New Roman" w:cs="Times New Roman"/>
          <w:b/>
          <w:noProof/>
          <w:sz w:val="24"/>
          <w:szCs w:val="24"/>
        </w:rPr>
        <w:drawing>
          <wp:inline distT="0" distB="0" distL="0" distR="0">
            <wp:extent cx="1194836" cy="1001985"/>
            <wp:effectExtent l="0" t="0" r="0" b="0"/>
            <wp:docPr id="4" name="image7.png" descr="мппс.png"/>
            <wp:cNvGraphicFramePr/>
            <a:graphic xmlns:a="http://schemas.openxmlformats.org/drawingml/2006/main">
              <a:graphicData uri="http://schemas.openxmlformats.org/drawingml/2006/picture">
                <pic:pic xmlns:pic="http://schemas.openxmlformats.org/drawingml/2006/picture">
                  <pic:nvPicPr>
                    <pic:cNvPr id="0" name="image7.png" descr="мппс.png"/>
                    <pic:cNvPicPr preferRelativeResize="0"/>
                  </pic:nvPicPr>
                  <pic:blipFill>
                    <a:blip r:embed="rId7" cstate="print"/>
                    <a:srcRect/>
                    <a:stretch>
                      <a:fillRect/>
                    </a:stretch>
                  </pic:blipFill>
                  <pic:spPr>
                    <a:xfrm>
                      <a:off x="0" y="0"/>
                      <a:ext cx="1194836" cy="1001985"/>
                    </a:xfrm>
                    <a:prstGeom prst="rect">
                      <a:avLst/>
                    </a:prstGeom>
                    <a:ln/>
                  </pic:spPr>
                </pic:pic>
              </a:graphicData>
            </a:graphic>
          </wp:inline>
        </w:drawing>
      </w:r>
    </w:p>
    <w:p w:rsidR="00582B39" w:rsidRPr="00566F4B" w:rsidRDefault="0094769C">
      <w:pPr>
        <w:jc w:val="center"/>
        <w:rPr>
          <w:rFonts w:eastAsia="Times New Roman"/>
          <w:b/>
          <w:szCs w:val="24"/>
        </w:rPr>
      </w:pPr>
      <w:r w:rsidRPr="00566F4B">
        <w:rPr>
          <w:rFonts w:eastAsia="Times New Roman"/>
          <w:b/>
          <w:szCs w:val="24"/>
        </w:rPr>
        <w:t xml:space="preserve">Муниципальное </w:t>
      </w:r>
      <w:r w:rsidR="00171C3E">
        <w:rPr>
          <w:rFonts w:eastAsia="Times New Roman"/>
          <w:b/>
          <w:szCs w:val="24"/>
        </w:rPr>
        <w:t>автоном</w:t>
      </w:r>
      <w:r w:rsidRPr="00566F4B">
        <w:rPr>
          <w:rFonts w:eastAsia="Times New Roman"/>
          <w:b/>
          <w:szCs w:val="24"/>
        </w:rPr>
        <w:t>ное учреждение</w:t>
      </w:r>
    </w:p>
    <w:p w:rsidR="00582B39" w:rsidRPr="00566F4B" w:rsidRDefault="0094769C">
      <w:pPr>
        <w:jc w:val="center"/>
        <w:rPr>
          <w:rFonts w:eastAsia="Times New Roman"/>
          <w:b/>
          <w:szCs w:val="24"/>
        </w:rPr>
      </w:pPr>
      <w:r w:rsidRPr="00566F4B">
        <w:rPr>
          <w:rFonts w:eastAsia="Times New Roman"/>
          <w:b/>
          <w:szCs w:val="24"/>
        </w:rPr>
        <w:t>«Киришский центр методического и психолого-педагогического сопровождения»</w:t>
      </w:r>
    </w:p>
    <w:p w:rsidR="00582B39" w:rsidRPr="0094769C" w:rsidRDefault="00582B39" w:rsidP="006D0182">
      <w:pPr>
        <w:pBdr>
          <w:bottom w:val="single" w:sz="4" w:space="1" w:color="000000"/>
        </w:pBdr>
        <w:spacing w:after="200"/>
        <w:rPr>
          <w:rFonts w:ascii="Times New Roman" w:eastAsia="Times New Roman" w:hAnsi="Times New Roman" w:cs="Times New Roman"/>
          <w:b/>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1B53C3" w:rsidTr="001B53C3">
        <w:tc>
          <w:tcPr>
            <w:tcW w:w="4509" w:type="dxa"/>
          </w:tcPr>
          <w:p w:rsidR="001B53C3" w:rsidRPr="001B53C3" w:rsidRDefault="001B53C3" w:rsidP="006D0182">
            <w:pPr>
              <w:spacing w:after="200"/>
              <w:rPr>
                <w:rFonts w:ascii="Times New Roman" w:eastAsia="Times New Roman" w:hAnsi="Times New Roman" w:cs="Times New Roman"/>
                <w:b/>
                <w:sz w:val="20"/>
                <w:szCs w:val="20"/>
              </w:rPr>
            </w:pPr>
          </w:p>
        </w:tc>
        <w:tc>
          <w:tcPr>
            <w:tcW w:w="4510" w:type="dxa"/>
          </w:tcPr>
          <w:p w:rsidR="001B53C3" w:rsidRPr="0094769C" w:rsidRDefault="00BE5786" w:rsidP="00BE5786">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УТВЕРЖДЕНЫ</w:t>
            </w:r>
          </w:p>
          <w:p w:rsidR="00A248D2" w:rsidRDefault="003464D9" w:rsidP="00BE5786">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н</w:t>
            </w:r>
            <w:r w:rsidR="008C4479">
              <w:rPr>
                <w:rFonts w:ascii="Times New Roman" w:eastAsia="Times New Roman" w:hAnsi="Times New Roman" w:cs="Times New Roman"/>
                <w:i/>
                <w:sz w:val="24"/>
                <w:szCs w:val="24"/>
              </w:rPr>
              <w:t xml:space="preserve">аблюдательным советом </w:t>
            </w:r>
          </w:p>
          <w:p w:rsidR="001B53C3" w:rsidRDefault="008C4479" w:rsidP="00BE5786">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МАУ «Киришский центр МППС»</w:t>
            </w:r>
          </w:p>
          <w:p w:rsidR="008C4479" w:rsidRPr="006D0182" w:rsidRDefault="00C04FF0" w:rsidP="00BE5786">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(протокол от 17.06.2021 г. № 03</w:t>
            </w:r>
            <w:r w:rsidR="008C4479">
              <w:rPr>
                <w:rFonts w:ascii="Times New Roman" w:eastAsia="Times New Roman" w:hAnsi="Times New Roman" w:cs="Times New Roman"/>
                <w:i/>
                <w:sz w:val="24"/>
                <w:szCs w:val="24"/>
              </w:rPr>
              <w:t>)</w:t>
            </w:r>
          </w:p>
        </w:tc>
      </w:tr>
    </w:tbl>
    <w:p w:rsidR="00582B39" w:rsidRPr="0094769C" w:rsidRDefault="00582B39">
      <w:pPr>
        <w:spacing w:after="200"/>
        <w:jc w:val="center"/>
        <w:rPr>
          <w:rFonts w:ascii="Times New Roman" w:eastAsia="Times New Roman" w:hAnsi="Times New Roman" w:cs="Times New Roman"/>
          <w:b/>
          <w:sz w:val="20"/>
          <w:szCs w:val="20"/>
        </w:rPr>
      </w:pPr>
    </w:p>
    <w:p w:rsidR="00582B39" w:rsidRPr="0094769C" w:rsidRDefault="00582B39">
      <w:pPr>
        <w:spacing w:after="200"/>
        <w:rPr>
          <w:rFonts w:ascii="Times New Roman" w:eastAsia="Times New Roman" w:hAnsi="Times New Roman" w:cs="Times New Roman"/>
          <w:b/>
          <w:sz w:val="28"/>
          <w:szCs w:val="28"/>
        </w:rPr>
      </w:pPr>
    </w:p>
    <w:p w:rsidR="00582B39" w:rsidRPr="0094769C" w:rsidRDefault="00582B39">
      <w:pPr>
        <w:spacing w:after="200"/>
        <w:jc w:val="center"/>
        <w:rPr>
          <w:rFonts w:ascii="Times New Roman" w:eastAsia="Times New Roman" w:hAnsi="Times New Roman" w:cs="Times New Roman"/>
          <w:b/>
          <w:sz w:val="40"/>
          <w:szCs w:val="40"/>
        </w:rPr>
      </w:pPr>
    </w:p>
    <w:p w:rsidR="006D0182" w:rsidRPr="006D0182" w:rsidRDefault="008C4479" w:rsidP="006D0182">
      <w:pPr>
        <w:pStyle w:val="12"/>
        <w:shd w:val="clear" w:color="auto" w:fill="auto"/>
        <w:spacing w:before="0" w:line="240" w:lineRule="auto"/>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ИЗМЕНЕНИЯ В ПОЛОЖЕНИ</w:t>
      </w:r>
      <w:r w:rsidR="00A248D2">
        <w:rPr>
          <w:rFonts w:ascii="Times New Roman" w:hAnsi="Times New Roman" w:cs="Times New Roman"/>
          <w:color w:val="000000" w:themeColor="text1"/>
          <w:sz w:val="28"/>
          <w:szCs w:val="28"/>
        </w:rPr>
        <w:t>Е</w:t>
      </w:r>
      <w:r w:rsidR="006D0182" w:rsidRPr="006D0182">
        <w:rPr>
          <w:rFonts w:ascii="Times New Roman" w:hAnsi="Times New Roman" w:cs="Times New Roman"/>
          <w:color w:val="000000" w:themeColor="text1"/>
          <w:sz w:val="28"/>
          <w:szCs w:val="28"/>
        </w:rPr>
        <w:t xml:space="preserve"> О ЗАКУПКЕ </w:t>
      </w:r>
    </w:p>
    <w:p w:rsidR="006D0182" w:rsidRPr="006D0182" w:rsidRDefault="006D0182" w:rsidP="006D0182">
      <w:pPr>
        <w:pStyle w:val="12"/>
        <w:shd w:val="clear" w:color="auto" w:fill="auto"/>
        <w:spacing w:before="0" w:line="240" w:lineRule="auto"/>
        <w:ind w:firstLine="0"/>
        <w:rPr>
          <w:rFonts w:ascii="Times New Roman" w:hAnsi="Times New Roman" w:cs="Times New Roman"/>
          <w:color w:val="000000" w:themeColor="text1"/>
          <w:sz w:val="28"/>
          <w:szCs w:val="28"/>
        </w:rPr>
      </w:pPr>
    </w:p>
    <w:p w:rsidR="006D0182" w:rsidRPr="006D0182" w:rsidRDefault="006D0182" w:rsidP="006D0182">
      <w:pPr>
        <w:pStyle w:val="12"/>
        <w:shd w:val="clear" w:color="auto" w:fill="auto"/>
        <w:spacing w:before="0" w:line="240" w:lineRule="auto"/>
        <w:ind w:firstLine="0"/>
        <w:rPr>
          <w:rFonts w:ascii="Times New Roman" w:hAnsi="Times New Roman" w:cs="Times New Roman"/>
          <w:color w:val="000000" w:themeColor="text1"/>
          <w:sz w:val="28"/>
          <w:szCs w:val="28"/>
        </w:rPr>
      </w:pPr>
      <w:r w:rsidRPr="006D0182">
        <w:rPr>
          <w:rFonts w:ascii="Times New Roman" w:hAnsi="Times New Roman" w:cs="Times New Roman"/>
          <w:color w:val="000000" w:themeColor="text1"/>
          <w:sz w:val="28"/>
          <w:szCs w:val="28"/>
        </w:rPr>
        <w:t xml:space="preserve">товаров, работ, услуг </w:t>
      </w:r>
    </w:p>
    <w:p w:rsidR="006D0182" w:rsidRPr="006D0182" w:rsidRDefault="006D0182" w:rsidP="006D0182">
      <w:pPr>
        <w:jc w:val="center"/>
        <w:rPr>
          <w:rFonts w:ascii="Times New Roman" w:hAnsi="Times New Roman" w:cs="Times New Roman"/>
          <w:b/>
          <w:sz w:val="28"/>
          <w:szCs w:val="28"/>
        </w:rPr>
      </w:pPr>
      <w:r w:rsidRPr="006D0182">
        <w:rPr>
          <w:rFonts w:ascii="Times New Roman" w:hAnsi="Times New Roman" w:cs="Times New Roman"/>
          <w:b/>
          <w:sz w:val="28"/>
          <w:szCs w:val="28"/>
        </w:rPr>
        <w:t xml:space="preserve">Муниципального автономного учреждения </w:t>
      </w:r>
    </w:p>
    <w:p w:rsidR="006D0182" w:rsidRPr="006D0182" w:rsidRDefault="006D0182" w:rsidP="006D0182">
      <w:pPr>
        <w:jc w:val="center"/>
        <w:rPr>
          <w:rFonts w:ascii="Times New Roman" w:hAnsi="Times New Roman" w:cs="Times New Roman"/>
          <w:b/>
          <w:sz w:val="28"/>
          <w:szCs w:val="28"/>
        </w:rPr>
      </w:pPr>
      <w:r w:rsidRPr="006D0182">
        <w:rPr>
          <w:rFonts w:ascii="Times New Roman" w:hAnsi="Times New Roman" w:cs="Times New Roman"/>
          <w:b/>
          <w:sz w:val="28"/>
          <w:szCs w:val="28"/>
        </w:rPr>
        <w:t xml:space="preserve">«Киришский центр методического и </w:t>
      </w:r>
    </w:p>
    <w:p w:rsidR="006D0182" w:rsidRPr="006D0182" w:rsidRDefault="006D0182" w:rsidP="006D0182">
      <w:pPr>
        <w:jc w:val="center"/>
        <w:rPr>
          <w:rFonts w:ascii="Times New Roman" w:hAnsi="Times New Roman" w:cs="Times New Roman"/>
          <w:b/>
          <w:sz w:val="28"/>
          <w:szCs w:val="28"/>
        </w:rPr>
      </w:pPr>
      <w:r w:rsidRPr="006D0182">
        <w:rPr>
          <w:rFonts w:ascii="Times New Roman" w:hAnsi="Times New Roman" w:cs="Times New Roman"/>
          <w:b/>
          <w:sz w:val="28"/>
          <w:szCs w:val="28"/>
        </w:rPr>
        <w:t>психолого-педагогического сопровождения»</w:t>
      </w:r>
    </w:p>
    <w:p w:rsidR="00582B39" w:rsidRPr="0094769C" w:rsidRDefault="00582B39">
      <w:pPr>
        <w:spacing w:after="200"/>
        <w:jc w:val="center"/>
        <w:rPr>
          <w:rFonts w:ascii="Times New Roman" w:eastAsia="Times New Roman" w:hAnsi="Times New Roman" w:cs="Times New Roman"/>
          <w:b/>
          <w:sz w:val="40"/>
          <w:szCs w:val="40"/>
        </w:rPr>
      </w:pPr>
    </w:p>
    <w:p w:rsidR="00582B39" w:rsidRPr="0094769C" w:rsidRDefault="00582B39">
      <w:pPr>
        <w:spacing w:after="200"/>
        <w:rPr>
          <w:rFonts w:ascii="Times New Roman" w:eastAsia="Times New Roman" w:hAnsi="Times New Roman" w:cs="Times New Roman"/>
          <w:b/>
          <w:sz w:val="28"/>
          <w:szCs w:val="28"/>
        </w:rPr>
      </w:pPr>
    </w:p>
    <w:p w:rsidR="00582B39" w:rsidRPr="0094769C" w:rsidRDefault="00582B39">
      <w:pPr>
        <w:spacing w:after="200"/>
        <w:rPr>
          <w:rFonts w:ascii="Times New Roman" w:eastAsia="Times New Roman" w:hAnsi="Times New Roman" w:cs="Times New Roman"/>
          <w:b/>
          <w:sz w:val="28"/>
          <w:szCs w:val="28"/>
        </w:rPr>
      </w:pPr>
    </w:p>
    <w:p w:rsidR="00582B39" w:rsidRPr="0094769C" w:rsidRDefault="00582B39">
      <w:pPr>
        <w:spacing w:after="200"/>
        <w:rPr>
          <w:rFonts w:ascii="Times New Roman" w:eastAsia="Times New Roman" w:hAnsi="Times New Roman" w:cs="Times New Roman"/>
          <w:b/>
          <w:sz w:val="28"/>
          <w:szCs w:val="28"/>
        </w:rPr>
      </w:pPr>
    </w:p>
    <w:p w:rsidR="00582B39" w:rsidRDefault="00582B39">
      <w:pPr>
        <w:spacing w:after="200"/>
        <w:rPr>
          <w:rFonts w:ascii="Times New Roman" w:eastAsia="Times New Roman" w:hAnsi="Times New Roman" w:cs="Times New Roman"/>
          <w:b/>
          <w:sz w:val="28"/>
          <w:szCs w:val="28"/>
        </w:rPr>
      </w:pPr>
    </w:p>
    <w:p w:rsidR="00171C3E" w:rsidRDefault="00171C3E">
      <w:pPr>
        <w:spacing w:after="200"/>
        <w:rPr>
          <w:rFonts w:ascii="Times New Roman" w:eastAsia="Times New Roman" w:hAnsi="Times New Roman" w:cs="Times New Roman"/>
          <w:b/>
          <w:sz w:val="28"/>
          <w:szCs w:val="28"/>
        </w:rPr>
      </w:pPr>
    </w:p>
    <w:p w:rsidR="00171C3E" w:rsidRDefault="00171C3E">
      <w:pPr>
        <w:spacing w:after="200"/>
        <w:rPr>
          <w:rFonts w:ascii="Times New Roman" w:eastAsia="Times New Roman" w:hAnsi="Times New Roman" w:cs="Times New Roman"/>
          <w:b/>
          <w:sz w:val="28"/>
          <w:szCs w:val="28"/>
        </w:rPr>
      </w:pPr>
    </w:p>
    <w:p w:rsidR="00171C3E" w:rsidRDefault="00171C3E">
      <w:pPr>
        <w:spacing w:after="200"/>
        <w:rPr>
          <w:rFonts w:ascii="Times New Roman" w:eastAsia="Times New Roman" w:hAnsi="Times New Roman" w:cs="Times New Roman"/>
          <w:b/>
          <w:sz w:val="28"/>
          <w:szCs w:val="28"/>
        </w:rPr>
      </w:pPr>
    </w:p>
    <w:p w:rsidR="00171C3E" w:rsidRDefault="00171C3E">
      <w:pPr>
        <w:spacing w:after="200"/>
        <w:rPr>
          <w:rFonts w:ascii="Times New Roman" w:eastAsia="Times New Roman" w:hAnsi="Times New Roman" w:cs="Times New Roman"/>
          <w:b/>
          <w:sz w:val="28"/>
          <w:szCs w:val="28"/>
        </w:rPr>
      </w:pPr>
    </w:p>
    <w:p w:rsidR="00582B39" w:rsidRPr="0094769C" w:rsidRDefault="0094769C">
      <w:pPr>
        <w:jc w:val="center"/>
        <w:rPr>
          <w:rFonts w:ascii="Times New Roman" w:eastAsia="Times New Roman" w:hAnsi="Times New Roman" w:cs="Times New Roman"/>
          <w:b/>
        </w:rPr>
      </w:pPr>
      <w:r w:rsidRPr="0094769C">
        <w:rPr>
          <w:rFonts w:ascii="Times New Roman" w:eastAsia="Times New Roman" w:hAnsi="Times New Roman" w:cs="Times New Roman"/>
          <w:b/>
        </w:rPr>
        <w:t>Кириши</w:t>
      </w:r>
    </w:p>
    <w:p w:rsidR="00582B39" w:rsidRPr="0094769C" w:rsidRDefault="00C04FF0">
      <w:pPr>
        <w:jc w:val="center"/>
        <w:rPr>
          <w:rFonts w:ascii="Times New Roman" w:eastAsia="Times New Roman" w:hAnsi="Times New Roman" w:cs="Times New Roman"/>
          <w:b/>
        </w:rPr>
      </w:pPr>
      <w:r>
        <w:rPr>
          <w:rFonts w:ascii="Times New Roman" w:eastAsia="Times New Roman" w:hAnsi="Times New Roman" w:cs="Times New Roman"/>
          <w:b/>
        </w:rPr>
        <w:t>2021</w:t>
      </w:r>
      <w:r w:rsidR="00082ABE">
        <w:rPr>
          <w:rFonts w:ascii="Times New Roman" w:eastAsia="Times New Roman" w:hAnsi="Times New Roman" w:cs="Times New Roman"/>
          <w:b/>
        </w:rPr>
        <w:t xml:space="preserve"> </w:t>
      </w:r>
      <w:r w:rsidR="0094769C" w:rsidRPr="0094769C">
        <w:rPr>
          <w:rFonts w:ascii="Times New Roman" w:eastAsia="Times New Roman" w:hAnsi="Times New Roman" w:cs="Times New Roman"/>
          <w:b/>
        </w:rPr>
        <w:t>год</w:t>
      </w:r>
    </w:p>
    <w:p w:rsidR="00C04FF0" w:rsidRPr="00C04FF0" w:rsidRDefault="0094769C"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94769C">
        <w:br w:type="page"/>
      </w:r>
      <w:r w:rsidR="00C04FF0" w:rsidRPr="00C04FF0">
        <w:rPr>
          <w:rFonts w:ascii="Times New Roman" w:hAnsi="Times New Roman" w:cs="Times New Roman"/>
          <w:sz w:val="24"/>
          <w:szCs w:val="24"/>
        </w:rPr>
        <w:lastRenderedPageBreak/>
        <w:t>1.</w:t>
      </w:r>
      <w:r w:rsidR="00C04FF0" w:rsidRPr="00C04FF0">
        <w:rPr>
          <w:rFonts w:ascii="Times New Roman" w:hAnsi="Times New Roman" w:cs="Times New Roman"/>
          <w:sz w:val="24"/>
          <w:szCs w:val="24"/>
        </w:rPr>
        <w:tab/>
        <w:t>Изложить ч.13.1 ст.13 Положения в следующей редакции: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«13.1. В извещении об осуществлении конкурентной закупки должны быть указаны следующие сведения:</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способ закупки;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наименование, место нахождения, почтовый адрес, адрес электронной почты, номер контактного телефона Заказчика, Специализированной организации;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w:t>
      </w:r>
      <w:r w:rsidR="00CF79AC">
        <w:rPr>
          <w:rFonts w:ascii="Times New Roman" w:hAnsi="Times New Roman" w:cs="Times New Roman"/>
          <w:sz w:val="24"/>
          <w:szCs w:val="24"/>
        </w:rPr>
        <w:t xml:space="preserve"> разделом 10 настоящего </w:t>
      </w:r>
      <w:r w:rsidRPr="00C04FF0">
        <w:rPr>
          <w:rFonts w:ascii="Times New Roman" w:hAnsi="Times New Roman" w:cs="Times New Roman"/>
          <w:sz w:val="24"/>
          <w:szCs w:val="24"/>
        </w:rPr>
        <w:t>положения (при необходимости);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место поставки товара, выполнения работы, оказания услуги;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адрес электронной площадки в информационно-телекоммуникационной сети "Интернет";</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 и количество таких разъяснений.»</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2.</w:t>
      </w:r>
      <w:r w:rsidRPr="00C04FF0">
        <w:rPr>
          <w:rFonts w:ascii="Times New Roman" w:hAnsi="Times New Roman" w:cs="Times New Roman"/>
          <w:sz w:val="24"/>
          <w:szCs w:val="24"/>
        </w:rPr>
        <w:tab/>
        <w:t>Изложить ч.14.1 ст.14 Положения в следующей редакции: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«14.1. В документации о конкурентной закупке должны быть указаны:</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 xml:space="preserve">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w:t>
      </w:r>
      <w:r w:rsidRPr="00C04FF0">
        <w:rPr>
          <w:rFonts w:ascii="Times New Roman" w:hAnsi="Times New Roman" w:cs="Times New Roman"/>
          <w:sz w:val="24"/>
          <w:szCs w:val="24"/>
        </w:rPr>
        <w:lastRenderedPageBreak/>
        <w:t>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требования к содержанию, форме, оформлению и составу заявки на участие в конкурентной закупке;</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место, условия и сроки (периоды) поставки товара, выполнения работы, оказания услуги;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форма, сроки и порядок оплаты товара (работы, услуги);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 xml:space="preserve">порядок, дата начала, дата и время окончания срока подачи заявок на участие в конкурентной закупке (этапах конкурентной закупки) </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порядок подведения итогов такой закупки (этапов такой закупки);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 xml:space="preserve">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 в </w:t>
      </w:r>
      <w:proofErr w:type="spellStart"/>
      <w:r w:rsidRPr="00C04FF0">
        <w:rPr>
          <w:rFonts w:ascii="Times New Roman" w:hAnsi="Times New Roman" w:cs="Times New Roman"/>
          <w:sz w:val="24"/>
          <w:szCs w:val="24"/>
        </w:rPr>
        <w:t>т.ч</w:t>
      </w:r>
      <w:proofErr w:type="spellEnd"/>
      <w:r w:rsidRPr="00C04FF0">
        <w:rPr>
          <w:rFonts w:ascii="Times New Roman" w:hAnsi="Times New Roman" w:cs="Times New Roman"/>
          <w:sz w:val="24"/>
          <w:szCs w:val="24"/>
        </w:rPr>
        <w:t xml:space="preserve"> по каждой из частей заявки;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формы, порядок, дата и время окончания срока предоставления участникам такой закупки разъяснений положений документации о конкурентной закупке; количество предоставляемых разъяснений,</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 xml:space="preserve">дата рассмотрения предложений участников такой закупки, </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дата подведения итогов такой закупки;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критерии оценки и сопоставления заявок на участие в такой закупке, величины значимости этих критериев;</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порядок оценки и сопоставления заявок на участие в такой закупке;</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 xml:space="preserve">описание предмета такой закупки в соответствии с </w:t>
      </w:r>
      <w:r w:rsidR="00CF79AC">
        <w:rPr>
          <w:rFonts w:ascii="Times New Roman" w:hAnsi="Times New Roman" w:cs="Times New Roman"/>
          <w:sz w:val="24"/>
          <w:szCs w:val="24"/>
        </w:rPr>
        <w:t xml:space="preserve">разделом 10 настоящего </w:t>
      </w:r>
      <w:r w:rsidRPr="00C04FF0">
        <w:rPr>
          <w:rFonts w:ascii="Times New Roman" w:hAnsi="Times New Roman" w:cs="Times New Roman"/>
          <w:sz w:val="24"/>
          <w:szCs w:val="24"/>
        </w:rPr>
        <w:t>положения;</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w:t>
      </w:r>
      <w:r w:rsidRPr="00C04FF0">
        <w:rPr>
          <w:rFonts w:ascii="Times New Roman" w:hAnsi="Times New Roman" w:cs="Times New Roman"/>
          <w:sz w:val="24"/>
          <w:szCs w:val="24"/>
        </w:rPr>
        <w:lastRenderedPageBreak/>
        <w:t>договора, обеспечения исполнения гарантийных обязательств определяется в соответствии с положениями</w:t>
      </w:r>
      <w:r w:rsidR="00CF79AC">
        <w:rPr>
          <w:rFonts w:ascii="Times New Roman" w:hAnsi="Times New Roman" w:cs="Times New Roman"/>
          <w:sz w:val="24"/>
          <w:szCs w:val="24"/>
        </w:rPr>
        <w:t xml:space="preserve"> раздела 61 настоящего </w:t>
      </w:r>
      <w:r w:rsidRPr="00C04FF0">
        <w:rPr>
          <w:rFonts w:ascii="Times New Roman" w:hAnsi="Times New Roman" w:cs="Times New Roman"/>
          <w:sz w:val="24"/>
          <w:szCs w:val="24"/>
        </w:rPr>
        <w:t>положения;</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 xml:space="preserve">информация о возможности Заказчика изменить условия договора в соответствии с </w:t>
      </w:r>
      <w:r w:rsidR="00CF79AC">
        <w:rPr>
          <w:rFonts w:ascii="Times New Roman" w:hAnsi="Times New Roman" w:cs="Times New Roman"/>
          <w:sz w:val="24"/>
          <w:szCs w:val="24"/>
        </w:rPr>
        <w:t xml:space="preserve">положениями настоящего </w:t>
      </w:r>
      <w:r w:rsidRPr="00C04FF0">
        <w:rPr>
          <w:rFonts w:ascii="Times New Roman" w:hAnsi="Times New Roman" w:cs="Times New Roman"/>
          <w:sz w:val="24"/>
          <w:szCs w:val="24"/>
        </w:rPr>
        <w:t>положения;</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информация о возможности одностороннего отказа от исполнения договора.».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3.</w:t>
      </w:r>
      <w:r w:rsidRPr="00C04FF0">
        <w:rPr>
          <w:rFonts w:ascii="Times New Roman" w:hAnsi="Times New Roman" w:cs="Times New Roman"/>
          <w:sz w:val="24"/>
          <w:szCs w:val="24"/>
        </w:rPr>
        <w:tab/>
        <w:t>Дополнить ст.60 Положения пунктом 60.5 следующего содержания:</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 xml:space="preserve">«60.5. Порядок подготовки и осуществления закупок у единственного поставщика, в </w:t>
      </w:r>
      <w:proofErr w:type="spellStart"/>
      <w:r w:rsidRPr="00C04FF0">
        <w:rPr>
          <w:rFonts w:ascii="Times New Roman" w:hAnsi="Times New Roman" w:cs="Times New Roman"/>
          <w:sz w:val="24"/>
          <w:szCs w:val="24"/>
        </w:rPr>
        <w:t>т.ч</w:t>
      </w:r>
      <w:proofErr w:type="spellEnd"/>
      <w:r w:rsidRPr="00C04FF0">
        <w:rPr>
          <w:rFonts w:ascii="Times New Roman" w:hAnsi="Times New Roman" w:cs="Times New Roman"/>
          <w:sz w:val="24"/>
          <w:szCs w:val="24"/>
        </w:rPr>
        <w:t xml:space="preserve">. порядок заключения и исполнения договоров с единственным поставщиком, а также распределение должностных обязанностей между структурными подразделениями и/или работниками Заказчика, ответственными за осуществление закупочных процедур, в отношении закупок у единственного поставщика, определяются Заказчиком посредством принятия соответствующего локального нормативного акта.».  </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4.</w:t>
      </w:r>
      <w:r w:rsidRPr="00C04FF0">
        <w:rPr>
          <w:rFonts w:ascii="Times New Roman" w:hAnsi="Times New Roman" w:cs="Times New Roman"/>
          <w:sz w:val="24"/>
          <w:szCs w:val="24"/>
        </w:rPr>
        <w:tab/>
        <w:t>Изложить ст.62 Положения в следующей редакции: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«62. Особенности участия субъектов малого и среднего предпринимательства в закупках.</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62.1. В случае установления Правительством Российской Федерации в соответствии с пунктом 2 части 8 статьи 3 Закона № 223-ФЗ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62.2. Осуществление в электронной форме конкурентной закупки, участниками которой могут быть только субъекты малого и среднего предпринимательства, осуществляется с учетом особенностей, установленных ст. 3.4 Закона № 223-ФЗ.».</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5.</w:t>
      </w:r>
      <w:r w:rsidRPr="00C04FF0">
        <w:rPr>
          <w:rFonts w:ascii="Times New Roman" w:hAnsi="Times New Roman" w:cs="Times New Roman"/>
          <w:sz w:val="24"/>
          <w:szCs w:val="24"/>
        </w:rPr>
        <w:tab/>
        <w:t>Дополнить п.63.3 ст.63 Положения следующими абзацами: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 xml:space="preserve">«При уклонении победителя конкурентной закупки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w:t>
      </w:r>
      <w:r w:rsidR="00CF79AC">
        <w:rPr>
          <w:rFonts w:ascii="Times New Roman" w:hAnsi="Times New Roman" w:cs="Times New Roman"/>
          <w:sz w:val="24"/>
          <w:szCs w:val="24"/>
        </w:rPr>
        <w:t xml:space="preserve">конкурентной закупки, заявке </w:t>
      </w:r>
      <w:proofErr w:type="gramStart"/>
      <w:r w:rsidR="00CF79AC">
        <w:rPr>
          <w:rFonts w:ascii="Times New Roman" w:hAnsi="Times New Roman" w:cs="Times New Roman"/>
          <w:sz w:val="24"/>
          <w:szCs w:val="24"/>
        </w:rPr>
        <w:t xml:space="preserve">на </w:t>
      </w:r>
      <w:bookmarkStart w:id="0" w:name="_GoBack"/>
      <w:bookmarkEnd w:id="0"/>
      <w:r w:rsidRPr="00C04FF0">
        <w:rPr>
          <w:rFonts w:ascii="Times New Roman" w:hAnsi="Times New Roman" w:cs="Times New Roman"/>
          <w:sz w:val="24"/>
          <w:szCs w:val="24"/>
        </w:rPr>
        <w:t>участие</w:t>
      </w:r>
      <w:proofErr w:type="gramEnd"/>
      <w:r w:rsidRPr="00C04FF0">
        <w:rPr>
          <w:rFonts w:ascii="Times New Roman" w:hAnsi="Times New Roman" w:cs="Times New Roman"/>
          <w:sz w:val="24"/>
          <w:szCs w:val="24"/>
        </w:rPr>
        <w:t xml:space="preserve"> которого присвоен второй номер.</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Проект договора составляется заказчиком с включением в проект договора условий исполнения договора, предложенных участником закупки, заявке которого присвоен второй номер. Проект договора подлежит направлению заказчиком этому участнику в срок, не превышающий 5 дней с даты признания победителя закупки уклонившимся от заключения договора. Участник закупки, заявке которого присвоен второй номер, вправе подписать договор в течение 5 дней с даты направления заказчиком такому участнику проекта договора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Непредставление участником закупки, заявке которого присвоен второй номер, заказчику в срок, установленный настоящей статьей,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6.</w:t>
      </w:r>
      <w:r w:rsidRPr="00C04FF0">
        <w:rPr>
          <w:rFonts w:ascii="Times New Roman" w:hAnsi="Times New Roman" w:cs="Times New Roman"/>
          <w:sz w:val="24"/>
          <w:szCs w:val="24"/>
        </w:rPr>
        <w:tab/>
        <w:t>Изложить ст.66 Положения в следующей редакции: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lastRenderedPageBreak/>
        <w:t>«66. Изменение и расторжение договора.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66.1. Изменение условий договора в ходе его исполнения допускается по соглашению сторон в следующих случаях:</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 договором:</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закупке или предложенной участником, с которым заключается договор, на количество товара, указанное в извещении/документации о проведении закупки;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благоустройству территорий. При этом допускается изменение с учетом настоящего Положения цены договора не более чем на 30 процентов цены договора: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если договором,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благоустройству территорий,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w:t>
      </w:r>
      <w:r>
        <w:rPr>
          <w:rFonts w:ascii="Times New Roman" w:hAnsi="Times New Roman" w:cs="Times New Roman"/>
          <w:sz w:val="24"/>
          <w:szCs w:val="24"/>
        </w:rPr>
        <w:t xml:space="preserve">а не исполнен в установленный </w:t>
      </w:r>
      <w:r w:rsidRPr="00C04FF0">
        <w:rPr>
          <w:rFonts w:ascii="Times New Roman" w:hAnsi="Times New Roman" w:cs="Times New Roman"/>
          <w:sz w:val="24"/>
          <w:szCs w:val="24"/>
        </w:rPr>
        <w:t>договором срок, допускается изменение срока исполнения договора.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66.1.2. Изменения в соответствии с законодательством Российской Федерации регулируемых цен (тарифов) на товары, работы, услуги.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66.2.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lastRenderedPageBreak/>
        <w:t>66.3. При заключении дополнительного соглашения о внесении изменений в договор Заказчик должен соблюдать следующие принципы:</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изменение предмета договора не допускается;</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w:t>
      </w:r>
      <w:r w:rsidRPr="00C04FF0">
        <w:rPr>
          <w:rFonts w:ascii="Times New Roman" w:hAnsi="Times New Roman" w:cs="Times New Roman"/>
          <w:sz w:val="24"/>
          <w:szCs w:val="24"/>
        </w:rPr>
        <w:tab/>
        <w:t xml:space="preserve">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w:t>
      </w:r>
      <w:r w:rsidR="00CF79AC">
        <w:rPr>
          <w:rFonts w:ascii="Times New Roman" w:hAnsi="Times New Roman" w:cs="Times New Roman"/>
          <w:sz w:val="24"/>
          <w:szCs w:val="24"/>
        </w:rPr>
        <w:t xml:space="preserve">пункта 60.1 настоящего </w:t>
      </w:r>
      <w:r w:rsidRPr="00C04FF0">
        <w:rPr>
          <w:rFonts w:ascii="Times New Roman" w:hAnsi="Times New Roman" w:cs="Times New Roman"/>
          <w:sz w:val="24"/>
          <w:szCs w:val="24"/>
        </w:rPr>
        <w:t>положения, будут соблюдены соответственно условия, установленные в подпунктах 60.1.1, 60.1.2, 60.1.28, 60.1.31, 60.1.34 пункта 60.1 и абзаце 1 пункта 60.2 настоящего</w:t>
      </w:r>
      <w:r w:rsidR="00CF79AC">
        <w:rPr>
          <w:rFonts w:ascii="Times New Roman" w:hAnsi="Times New Roman" w:cs="Times New Roman"/>
          <w:sz w:val="24"/>
          <w:szCs w:val="24"/>
        </w:rPr>
        <w:t xml:space="preserve"> </w:t>
      </w:r>
      <w:r w:rsidRPr="00C04FF0">
        <w:rPr>
          <w:rFonts w:ascii="Times New Roman" w:hAnsi="Times New Roman" w:cs="Times New Roman"/>
          <w:sz w:val="24"/>
          <w:szCs w:val="24"/>
        </w:rPr>
        <w:t>положения.</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66.4.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66.5.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При расторжении договора в одностороннем порядке в связи с наличием вины поставщика (исполнителя, подрядчика) Заказчик вправе потребовать от поставщика (исполнителя, подрядчика) возмещения причиненных убытков.</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самим договором, соглашением сторон.».</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7.</w:t>
      </w:r>
      <w:r w:rsidRPr="00C04FF0">
        <w:rPr>
          <w:rFonts w:ascii="Times New Roman" w:hAnsi="Times New Roman" w:cs="Times New Roman"/>
          <w:sz w:val="24"/>
          <w:szCs w:val="24"/>
        </w:rPr>
        <w:tab/>
        <w:t>Дополнить Приложение №1 к Положению следующими разделами:</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«VIII. Формирование и обоснование цены единицы товара, работы, услуги. Определение максимального значения цены договора.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1.</w:t>
      </w:r>
      <w:r w:rsidRPr="00C04FF0">
        <w:rPr>
          <w:rFonts w:ascii="Times New Roman" w:hAnsi="Times New Roman" w:cs="Times New Roman"/>
          <w:sz w:val="24"/>
          <w:szCs w:val="24"/>
        </w:rPr>
        <w:tab/>
      </w:r>
      <w:proofErr w:type="gramStart"/>
      <w:r w:rsidRPr="00C04FF0">
        <w:rPr>
          <w:rFonts w:ascii="Times New Roman" w:hAnsi="Times New Roman" w:cs="Times New Roman"/>
          <w:sz w:val="24"/>
          <w:szCs w:val="24"/>
        </w:rPr>
        <w:t>В</w:t>
      </w:r>
      <w:proofErr w:type="gramEnd"/>
      <w:r w:rsidRPr="00C04FF0">
        <w:rPr>
          <w:rFonts w:ascii="Times New Roman" w:hAnsi="Times New Roman" w:cs="Times New Roman"/>
          <w:sz w:val="24"/>
          <w:szCs w:val="24"/>
        </w:rPr>
        <w:t xml:space="preserve">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цену единицы товара, работы, услуги. При этом положения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2.</w:t>
      </w:r>
      <w:r w:rsidRPr="00C04FF0">
        <w:rPr>
          <w:rFonts w:ascii="Times New Roman" w:hAnsi="Times New Roman" w:cs="Times New Roman"/>
          <w:sz w:val="24"/>
          <w:szCs w:val="24"/>
        </w:rPr>
        <w:tab/>
        <w:t xml:space="preserve">Определение и обоснование цены единицы товара, работы, услуги осуществляется посредством применения одного из следующих методов обоснования цены: метод сопоставимых рыночных цен (анализ рынка), тарифный, нормативный, затратный в порядке, установленном настоящим Положением. </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3.</w:t>
      </w:r>
      <w:r w:rsidRPr="00C04FF0">
        <w:rPr>
          <w:rFonts w:ascii="Times New Roman" w:hAnsi="Times New Roman" w:cs="Times New Roman"/>
          <w:sz w:val="24"/>
          <w:szCs w:val="24"/>
        </w:rPr>
        <w:tab/>
        <w:t>Максимальное значение цены договора определяется исходя из объема финансирования Заказчика на закупку конкретных товаров, работ, услуг.</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 xml:space="preserve">IХ. Правила расчета сумм, подлежащих уплате заказчиком поставщику </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(исполнителю, подрядчику) в ходе исполнения договора</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1.</w:t>
      </w:r>
      <w:r w:rsidRPr="00C04FF0">
        <w:rPr>
          <w:rFonts w:ascii="Times New Roman" w:hAnsi="Times New Roman" w:cs="Times New Roman"/>
          <w:sz w:val="24"/>
          <w:szCs w:val="24"/>
        </w:rPr>
        <w:tab/>
      </w:r>
      <w:proofErr w:type="gramStart"/>
      <w:r w:rsidRPr="00C04FF0">
        <w:rPr>
          <w:rFonts w:ascii="Times New Roman" w:hAnsi="Times New Roman" w:cs="Times New Roman"/>
          <w:sz w:val="24"/>
          <w:szCs w:val="24"/>
        </w:rPr>
        <w:t>В</w:t>
      </w:r>
      <w:proofErr w:type="gramEnd"/>
      <w:r w:rsidRPr="00C04FF0">
        <w:rPr>
          <w:rFonts w:ascii="Times New Roman" w:hAnsi="Times New Roman" w:cs="Times New Roman"/>
          <w:sz w:val="24"/>
          <w:szCs w:val="24"/>
        </w:rPr>
        <w:t xml:space="preserve"> ходе исполнения договора поставщику (подрядчику исполнителю) подлежит оплате заказчиком сумма, рассчитываемая по формуле:</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С = Ц х О</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lastRenderedPageBreak/>
        <w:t xml:space="preserve">где: </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C – сумма, подлежащая оплате заказчиком поставщику (подрядчику, исполнителю) в ходе исполнения договора, руб.;</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 xml:space="preserve">Ц   - для договоров поставки товара: цена единицы товара, руб., </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 для договоров на выполнение работ: цена конструктивного решения (элемента) и (или) комплекса (вида) работ в смете договора, руб.,</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 для договоров на оказание услуг: цена условной единицы объема услуг, подлежащая в соответствии с условиями договора приемке, руб.</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r w:rsidRPr="00C04FF0">
        <w:rPr>
          <w:rFonts w:ascii="Times New Roman" w:hAnsi="Times New Roman" w:cs="Times New Roman"/>
          <w:sz w:val="24"/>
          <w:szCs w:val="24"/>
        </w:rPr>
        <w:t>О - объем принятых заказчиком и подлежащих оплате товаров, работ, услуг. Объем подлежащих оплате товаров, работ, услуг не превышает объем этих товаров, работ, услуг, включенный в договор.».</w:t>
      </w:r>
    </w:p>
    <w:p w:rsidR="00C04FF0" w:rsidRPr="00C04FF0" w:rsidRDefault="00C04FF0" w:rsidP="00C04FF0">
      <w:pPr>
        <w:widowControl w:val="0"/>
        <w:autoSpaceDE w:val="0"/>
        <w:autoSpaceDN w:val="0"/>
        <w:adjustRightInd w:val="0"/>
        <w:spacing w:line="240" w:lineRule="auto"/>
        <w:ind w:firstLine="720"/>
        <w:jc w:val="both"/>
        <w:rPr>
          <w:rFonts w:ascii="Times New Roman" w:hAnsi="Times New Roman" w:cs="Times New Roman"/>
          <w:sz w:val="24"/>
          <w:szCs w:val="24"/>
        </w:rPr>
      </w:pPr>
    </w:p>
    <w:p w:rsidR="00B400CE" w:rsidRPr="00C04FF0" w:rsidRDefault="00B400CE" w:rsidP="00BE5786">
      <w:pPr>
        <w:widowControl w:val="0"/>
        <w:autoSpaceDE w:val="0"/>
        <w:autoSpaceDN w:val="0"/>
        <w:adjustRightInd w:val="0"/>
        <w:spacing w:line="240" w:lineRule="auto"/>
        <w:ind w:firstLine="720"/>
        <w:jc w:val="both"/>
        <w:rPr>
          <w:rFonts w:ascii="Times New Roman" w:hAnsi="Times New Roman" w:cs="Times New Roman"/>
          <w:sz w:val="24"/>
          <w:szCs w:val="24"/>
        </w:rPr>
      </w:pPr>
    </w:p>
    <w:sectPr w:rsidR="00B400CE" w:rsidRPr="00C04FF0" w:rsidSect="00BF4283">
      <w:headerReference w:type="default" r:id="rId8"/>
      <w:footerReference w:type="default" r:id="rId9"/>
      <w:pgSz w:w="11909" w:h="16834"/>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81" w:rsidRDefault="00AC5981">
      <w:pPr>
        <w:spacing w:line="240" w:lineRule="auto"/>
      </w:pPr>
      <w:r>
        <w:separator/>
      </w:r>
    </w:p>
  </w:endnote>
  <w:endnote w:type="continuationSeparator" w:id="0">
    <w:p w:rsidR="00AC5981" w:rsidRDefault="00AC5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B1" w:rsidRDefault="00375FB1" w:rsidP="009530A0">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81" w:rsidRDefault="00AC5981">
      <w:pPr>
        <w:spacing w:line="240" w:lineRule="auto"/>
      </w:pPr>
      <w:r>
        <w:separator/>
      </w:r>
    </w:p>
  </w:footnote>
  <w:footnote w:type="continuationSeparator" w:id="0">
    <w:p w:rsidR="00AC5981" w:rsidRDefault="00AC59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B1" w:rsidRDefault="00375FB1">
    <w:pPr>
      <w:spacing w:line="294" w:lineRule="auto"/>
      <w:jc w:val="center"/>
      <w:rPr>
        <w:rFonts w:ascii="Times New Roman" w:eastAsia="Times New Roman" w:hAnsi="Times New Roman" w:cs="Times New Roman"/>
        <w:b/>
        <w:highlight w:val="white"/>
      </w:rPr>
    </w:pPr>
  </w:p>
  <w:p w:rsidR="00375FB1" w:rsidRDefault="00375FB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DC2"/>
    <w:multiLevelType w:val="multilevel"/>
    <w:tmpl w:val="E558F0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CC7DBD"/>
    <w:multiLevelType w:val="multilevel"/>
    <w:tmpl w:val="107A9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3504FD"/>
    <w:multiLevelType w:val="multilevel"/>
    <w:tmpl w:val="02282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68647D"/>
    <w:multiLevelType w:val="multilevel"/>
    <w:tmpl w:val="BC6E6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DE691E"/>
    <w:multiLevelType w:val="multilevel"/>
    <w:tmpl w:val="067E5E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E206D54"/>
    <w:multiLevelType w:val="multilevel"/>
    <w:tmpl w:val="FA80A8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70D5303"/>
    <w:multiLevelType w:val="multilevel"/>
    <w:tmpl w:val="B60688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C3E76A7"/>
    <w:multiLevelType w:val="multilevel"/>
    <w:tmpl w:val="644AE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BB66649"/>
    <w:multiLevelType w:val="multilevel"/>
    <w:tmpl w:val="81E6EA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9380DD1"/>
    <w:multiLevelType w:val="multilevel"/>
    <w:tmpl w:val="7606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653A5B"/>
    <w:multiLevelType w:val="multilevel"/>
    <w:tmpl w:val="E94ED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4E70C13"/>
    <w:multiLevelType w:val="multilevel"/>
    <w:tmpl w:val="B61020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DC96BCF"/>
    <w:multiLevelType w:val="multilevel"/>
    <w:tmpl w:val="8BB872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1"/>
  </w:num>
  <w:num w:numId="3">
    <w:abstractNumId w:val="5"/>
  </w:num>
  <w:num w:numId="4">
    <w:abstractNumId w:val="6"/>
  </w:num>
  <w:num w:numId="5">
    <w:abstractNumId w:val="4"/>
  </w:num>
  <w:num w:numId="6">
    <w:abstractNumId w:val="3"/>
  </w:num>
  <w:num w:numId="7">
    <w:abstractNumId w:val="2"/>
  </w:num>
  <w:num w:numId="8">
    <w:abstractNumId w:val="0"/>
  </w:num>
  <w:num w:numId="9">
    <w:abstractNumId w:val="11"/>
  </w:num>
  <w:num w:numId="10">
    <w:abstractNumId w:val="12"/>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2B39"/>
    <w:rsid w:val="00082ABE"/>
    <w:rsid w:val="00084E09"/>
    <w:rsid w:val="000B098C"/>
    <w:rsid w:val="00121E78"/>
    <w:rsid w:val="00171C3E"/>
    <w:rsid w:val="001A639C"/>
    <w:rsid w:val="001B53C3"/>
    <w:rsid w:val="001F7103"/>
    <w:rsid w:val="002376D0"/>
    <w:rsid w:val="0026086D"/>
    <w:rsid w:val="00286668"/>
    <w:rsid w:val="002F28A2"/>
    <w:rsid w:val="00333908"/>
    <w:rsid w:val="003464D9"/>
    <w:rsid w:val="00375FB1"/>
    <w:rsid w:val="00381384"/>
    <w:rsid w:val="003A1F9A"/>
    <w:rsid w:val="0045247E"/>
    <w:rsid w:val="004620AC"/>
    <w:rsid w:val="004739DA"/>
    <w:rsid w:val="00490CCF"/>
    <w:rsid w:val="004E3ACA"/>
    <w:rsid w:val="00566F4B"/>
    <w:rsid w:val="00582B39"/>
    <w:rsid w:val="005C7B71"/>
    <w:rsid w:val="005D100B"/>
    <w:rsid w:val="005F3D69"/>
    <w:rsid w:val="006B68F7"/>
    <w:rsid w:val="006D0182"/>
    <w:rsid w:val="007378A9"/>
    <w:rsid w:val="007755E2"/>
    <w:rsid w:val="007C1E2F"/>
    <w:rsid w:val="007E29D2"/>
    <w:rsid w:val="00822265"/>
    <w:rsid w:val="00865609"/>
    <w:rsid w:val="008C03B5"/>
    <w:rsid w:val="008C4479"/>
    <w:rsid w:val="008D071A"/>
    <w:rsid w:val="00933F4D"/>
    <w:rsid w:val="00945DD7"/>
    <w:rsid w:val="0094769C"/>
    <w:rsid w:val="009530A0"/>
    <w:rsid w:val="009A6834"/>
    <w:rsid w:val="009E1B8A"/>
    <w:rsid w:val="00A03A9B"/>
    <w:rsid w:val="00A05027"/>
    <w:rsid w:val="00A248D2"/>
    <w:rsid w:val="00A91A2A"/>
    <w:rsid w:val="00AC5981"/>
    <w:rsid w:val="00AC6550"/>
    <w:rsid w:val="00AE35B2"/>
    <w:rsid w:val="00B400CE"/>
    <w:rsid w:val="00BE5786"/>
    <w:rsid w:val="00BF4283"/>
    <w:rsid w:val="00C04FF0"/>
    <w:rsid w:val="00CF79AC"/>
    <w:rsid w:val="00D27E87"/>
    <w:rsid w:val="00D51934"/>
    <w:rsid w:val="00D578AE"/>
    <w:rsid w:val="00E76ABB"/>
    <w:rsid w:val="00E85547"/>
    <w:rsid w:val="00E9615C"/>
    <w:rsid w:val="00EC61A7"/>
    <w:rsid w:val="00F934B1"/>
    <w:rsid w:val="00FC7B4F"/>
    <w:rsid w:val="00FD25FD"/>
    <w:rsid w:val="00FD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5557"/>
  <w15:docId w15:val="{94F3417E-BC56-4614-B0C4-E6E854D3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6834"/>
  </w:style>
  <w:style w:type="paragraph" w:styleId="1">
    <w:name w:val="heading 1"/>
    <w:basedOn w:val="a"/>
    <w:next w:val="a"/>
    <w:rsid w:val="009A6834"/>
    <w:pPr>
      <w:keepNext/>
      <w:keepLines/>
      <w:spacing w:before="400" w:after="120"/>
      <w:outlineLvl w:val="0"/>
    </w:pPr>
    <w:rPr>
      <w:sz w:val="40"/>
      <w:szCs w:val="40"/>
    </w:rPr>
  </w:style>
  <w:style w:type="paragraph" w:styleId="2">
    <w:name w:val="heading 2"/>
    <w:basedOn w:val="a"/>
    <w:next w:val="a"/>
    <w:rsid w:val="009A6834"/>
    <w:pPr>
      <w:keepNext/>
      <w:keepLines/>
      <w:spacing w:before="360" w:after="120"/>
      <w:outlineLvl w:val="1"/>
    </w:pPr>
    <w:rPr>
      <w:sz w:val="32"/>
      <w:szCs w:val="32"/>
    </w:rPr>
  </w:style>
  <w:style w:type="paragraph" w:styleId="3">
    <w:name w:val="heading 3"/>
    <w:basedOn w:val="a"/>
    <w:next w:val="a"/>
    <w:rsid w:val="009A6834"/>
    <w:pPr>
      <w:keepNext/>
      <w:keepLines/>
      <w:spacing w:before="320" w:after="80"/>
      <w:outlineLvl w:val="2"/>
    </w:pPr>
    <w:rPr>
      <w:color w:val="434343"/>
      <w:sz w:val="28"/>
      <w:szCs w:val="28"/>
    </w:rPr>
  </w:style>
  <w:style w:type="paragraph" w:styleId="4">
    <w:name w:val="heading 4"/>
    <w:basedOn w:val="a"/>
    <w:next w:val="a"/>
    <w:rsid w:val="009A6834"/>
    <w:pPr>
      <w:keepNext/>
      <w:keepLines/>
      <w:spacing w:before="280" w:after="80"/>
      <w:outlineLvl w:val="3"/>
    </w:pPr>
    <w:rPr>
      <w:color w:val="666666"/>
      <w:sz w:val="24"/>
      <w:szCs w:val="24"/>
    </w:rPr>
  </w:style>
  <w:style w:type="paragraph" w:styleId="5">
    <w:name w:val="heading 5"/>
    <w:basedOn w:val="a"/>
    <w:next w:val="a"/>
    <w:rsid w:val="009A6834"/>
    <w:pPr>
      <w:keepNext/>
      <w:keepLines/>
      <w:spacing w:before="240" w:after="80"/>
      <w:outlineLvl w:val="4"/>
    </w:pPr>
    <w:rPr>
      <w:color w:val="666666"/>
    </w:rPr>
  </w:style>
  <w:style w:type="paragraph" w:styleId="6">
    <w:name w:val="heading 6"/>
    <w:basedOn w:val="a"/>
    <w:next w:val="a"/>
    <w:rsid w:val="009A683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A6834"/>
    <w:tblPr>
      <w:tblCellMar>
        <w:top w:w="0" w:type="dxa"/>
        <w:left w:w="0" w:type="dxa"/>
        <w:bottom w:w="0" w:type="dxa"/>
        <w:right w:w="0" w:type="dxa"/>
      </w:tblCellMar>
    </w:tblPr>
  </w:style>
  <w:style w:type="paragraph" w:styleId="a3">
    <w:name w:val="Title"/>
    <w:basedOn w:val="a"/>
    <w:next w:val="a"/>
    <w:rsid w:val="009A6834"/>
    <w:pPr>
      <w:keepNext/>
      <w:keepLines/>
      <w:spacing w:after="60"/>
    </w:pPr>
    <w:rPr>
      <w:sz w:val="52"/>
      <w:szCs w:val="52"/>
    </w:rPr>
  </w:style>
  <w:style w:type="paragraph" w:styleId="a4">
    <w:name w:val="Subtitle"/>
    <w:basedOn w:val="a"/>
    <w:next w:val="a"/>
    <w:rsid w:val="009A6834"/>
    <w:pPr>
      <w:keepNext/>
      <w:keepLines/>
      <w:spacing w:after="320"/>
    </w:pPr>
    <w:rPr>
      <w:color w:val="666666"/>
      <w:sz w:val="30"/>
      <w:szCs w:val="30"/>
    </w:rPr>
  </w:style>
  <w:style w:type="table" w:customStyle="1" w:styleId="a5">
    <w:basedOn w:val="TableNormal"/>
    <w:rsid w:val="009A6834"/>
    <w:tblPr>
      <w:tblStyleRowBandSize w:val="1"/>
      <w:tblStyleColBandSize w:val="1"/>
      <w:tblCellMar>
        <w:top w:w="100" w:type="dxa"/>
        <w:left w:w="100" w:type="dxa"/>
        <w:bottom w:w="100" w:type="dxa"/>
        <w:right w:w="100" w:type="dxa"/>
      </w:tblCellMar>
    </w:tblPr>
  </w:style>
  <w:style w:type="table" w:customStyle="1" w:styleId="a6">
    <w:basedOn w:val="TableNormal"/>
    <w:rsid w:val="009A6834"/>
    <w:tblPr>
      <w:tblStyleRowBandSize w:val="1"/>
      <w:tblStyleColBandSize w:val="1"/>
      <w:tblCellMar>
        <w:top w:w="100" w:type="dxa"/>
        <w:left w:w="100" w:type="dxa"/>
        <w:bottom w:w="100" w:type="dxa"/>
        <w:right w:w="100" w:type="dxa"/>
      </w:tblCellMar>
    </w:tblPr>
  </w:style>
  <w:style w:type="table" w:customStyle="1" w:styleId="a7">
    <w:basedOn w:val="TableNormal"/>
    <w:rsid w:val="009A6834"/>
    <w:tblPr>
      <w:tblStyleRowBandSize w:val="1"/>
      <w:tblStyleColBandSize w:val="1"/>
      <w:tblCellMar>
        <w:top w:w="100" w:type="dxa"/>
        <w:left w:w="100" w:type="dxa"/>
        <w:bottom w:w="100" w:type="dxa"/>
        <w:right w:w="100" w:type="dxa"/>
      </w:tblCellMar>
    </w:tblPr>
  </w:style>
  <w:style w:type="table" w:customStyle="1" w:styleId="a8">
    <w:basedOn w:val="TableNormal"/>
    <w:rsid w:val="009A6834"/>
    <w:tblPr>
      <w:tblStyleRowBandSize w:val="1"/>
      <w:tblStyleColBandSize w:val="1"/>
      <w:tblCellMar>
        <w:top w:w="100" w:type="dxa"/>
        <w:left w:w="100" w:type="dxa"/>
        <w:bottom w:w="100" w:type="dxa"/>
        <w:right w:w="100" w:type="dxa"/>
      </w:tblCellMar>
    </w:tblPr>
  </w:style>
  <w:style w:type="table" w:customStyle="1" w:styleId="a9">
    <w:basedOn w:val="TableNormal"/>
    <w:rsid w:val="009A6834"/>
    <w:tblPr>
      <w:tblStyleRowBandSize w:val="1"/>
      <w:tblStyleColBandSize w:val="1"/>
      <w:tblCellMar>
        <w:top w:w="100" w:type="dxa"/>
        <w:left w:w="100" w:type="dxa"/>
        <w:bottom w:w="100" w:type="dxa"/>
        <w:right w:w="100" w:type="dxa"/>
      </w:tblCellMar>
    </w:tblPr>
  </w:style>
  <w:style w:type="table" w:customStyle="1" w:styleId="aa">
    <w:basedOn w:val="TableNormal"/>
    <w:rsid w:val="009A6834"/>
    <w:tblPr>
      <w:tblStyleRowBandSize w:val="1"/>
      <w:tblStyleColBandSize w:val="1"/>
      <w:tblCellMar>
        <w:top w:w="100" w:type="dxa"/>
        <w:left w:w="100" w:type="dxa"/>
        <w:bottom w:w="100" w:type="dxa"/>
        <w:right w:w="100" w:type="dxa"/>
      </w:tblCellMar>
    </w:tblPr>
  </w:style>
  <w:style w:type="table" w:customStyle="1" w:styleId="ab">
    <w:basedOn w:val="TableNormal"/>
    <w:rsid w:val="009A6834"/>
    <w:tblPr>
      <w:tblStyleRowBandSize w:val="1"/>
      <w:tblStyleColBandSize w:val="1"/>
      <w:tblCellMar>
        <w:top w:w="100" w:type="dxa"/>
        <w:left w:w="100" w:type="dxa"/>
        <w:bottom w:w="100" w:type="dxa"/>
        <w:right w:w="100" w:type="dxa"/>
      </w:tblCellMar>
    </w:tblPr>
  </w:style>
  <w:style w:type="table" w:customStyle="1" w:styleId="ac">
    <w:basedOn w:val="TableNormal"/>
    <w:rsid w:val="009A6834"/>
    <w:tblPr>
      <w:tblStyleRowBandSize w:val="1"/>
      <w:tblStyleColBandSize w:val="1"/>
      <w:tblCellMar>
        <w:top w:w="100" w:type="dxa"/>
        <w:left w:w="100" w:type="dxa"/>
        <w:bottom w:w="100" w:type="dxa"/>
        <w:right w:w="100" w:type="dxa"/>
      </w:tblCellMar>
    </w:tblPr>
  </w:style>
  <w:style w:type="table" w:customStyle="1" w:styleId="ad">
    <w:basedOn w:val="TableNormal"/>
    <w:rsid w:val="009A6834"/>
    <w:tblPr>
      <w:tblStyleRowBandSize w:val="1"/>
      <w:tblStyleColBandSize w:val="1"/>
      <w:tblCellMar>
        <w:top w:w="100" w:type="dxa"/>
        <w:left w:w="100" w:type="dxa"/>
        <w:bottom w:w="100" w:type="dxa"/>
        <w:right w:w="100" w:type="dxa"/>
      </w:tblCellMar>
    </w:tblPr>
  </w:style>
  <w:style w:type="table" w:customStyle="1" w:styleId="ae">
    <w:basedOn w:val="TableNormal"/>
    <w:rsid w:val="009A6834"/>
    <w:tblPr>
      <w:tblStyleRowBandSize w:val="1"/>
      <w:tblStyleColBandSize w:val="1"/>
      <w:tblCellMar>
        <w:top w:w="100" w:type="dxa"/>
        <w:left w:w="100" w:type="dxa"/>
        <w:bottom w:w="100" w:type="dxa"/>
        <w:right w:w="100" w:type="dxa"/>
      </w:tblCellMar>
    </w:tblPr>
  </w:style>
  <w:style w:type="table" w:customStyle="1" w:styleId="af">
    <w:basedOn w:val="TableNormal"/>
    <w:rsid w:val="009A6834"/>
    <w:tblPr>
      <w:tblStyleRowBandSize w:val="1"/>
      <w:tblStyleColBandSize w:val="1"/>
      <w:tblCellMar>
        <w:top w:w="100" w:type="dxa"/>
        <w:left w:w="100" w:type="dxa"/>
        <w:bottom w:w="100" w:type="dxa"/>
        <w:right w:w="100" w:type="dxa"/>
      </w:tblCellMar>
    </w:tblPr>
  </w:style>
  <w:style w:type="table" w:customStyle="1" w:styleId="af0">
    <w:basedOn w:val="TableNormal"/>
    <w:rsid w:val="009A6834"/>
    <w:pPr>
      <w:spacing w:line="240" w:lineRule="auto"/>
    </w:pPr>
    <w:tblPr>
      <w:tblStyleRowBandSize w:val="1"/>
      <w:tblStyleColBandSize w:val="1"/>
      <w:tblCellMar>
        <w:left w:w="108" w:type="dxa"/>
        <w:right w:w="108" w:type="dxa"/>
      </w:tblCellMar>
    </w:tblPr>
  </w:style>
  <w:style w:type="table" w:customStyle="1" w:styleId="af1">
    <w:basedOn w:val="TableNormal"/>
    <w:rsid w:val="009A6834"/>
    <w:tblPr>
      <w:tblStyleRowBandSize w:val="1"/>
      <w:tblStyleColBandSize w:val="1"/>
      <w:tblCellMar>
        <w:top w:w="100" w:type="dxa"/>
        <w:left w:w="100" w:type="dxa"/>
        <w:bottom w:w="100" w:type="dxa"/>
        <w:right w:w="100" w:type="dxa"/>
      </w:tblCellMar>
    </w:tblPr>
  </w:style>
  <w:style w:type="table" w:customStyle="1" w:styleId="af2">
    <w:basedOn w:val="TableNormal"/>
    <w:rsid w:val="009A6834"/>
    <w:tblPr>
      <w:tblStyleRowBandSize w:val="1"/>
      <w:tblStyleColBandSize w:val="1"/>
      <w:tblCellMar>
        <w:top w:w="100" w:type="dxa"/>
        <w:left w:w="100" w:type="dxa"/>
        <w:bottom w:w="100" w:type="dxa"/>
        <w:right w:w="100" w:type="dxa"/>
      </w:tblCellMar>
    </w:tblPr>
  </w:style>
  <w:style w:type="table" w:customStyle="1" w:styleId="af3">
    <w:basedOn w:val="TableNormal"/>
    <w:rsid w:val="009A6834"/>
    <w:tblPr>
      <w:tblStyleRowBandSize w:val="1"/>
      <w:tblStyleColBandSize w:val="1"/>
      <w:tblCellMar>
        <w:top w:w="100" w:type="dxa"/>
        <w:left w:w="100" w:type="dxa"/>
        <w:bottom w:w="100" w:type="dxa"/>
        <w:right w:w="100" w:type="dxa"/>
      </w:tblCellMar>
    </w:tblPr>
  </w:style>
  <w:style w:type="table" w:customStyle="1" w:styleId="af4">
    <w:basedOn w:val="TableNormal"/>
    <w:rsid w:val="009A6834"/>
    <w:tblPr>
      <w:tblStyleRowBandSize w:val="1"/>
      <w:tblStyleColBandSize w:val="1"/>
      <w:tblCellMar>
        <w:top w:w="100" w:type="dxa"/>
        <w:left w:w="100" w:type="dxa"/>
        <w:bottom w:w="100" w:type="dxa"/>
        <w:right w:w="100" w:type="dxa"/>
      </w:tblCellMar>
    </w:tblPr>
  </w:style>
  <w:style w:type="table" w:customStyle="1" w:styleId="af5">
    <w:basedOn w:val="TableNormal"/>
    <w:rsid w:val="009A6834"/>
    <w:tblPr>
      <w:tblStyleRowBandSize w:val="1"/>
      <w:tblStyleColBandSize w:val="1"/>
      <w:tblCellMar>
        <w:top w:w="100" w:type="dxa"/>
        <w:left w:w="100" w:type="dxa"/>
        <w:bottom w:w="100" w:type="dxa"/>
        <w:right w:w="100" w:type="dxa"/>
      </w:tblCellMar>
    </w:tblPr>
    <w:tcPr>
      <w:shd w:val="clear" w:color="auto" w:fill="FFFFFF"/>
    </w:tcPr>
  </w:style>
  <w:style w:type="character" w:styleId="af6">
    <w:name w:val="Strong"/>
    <w:basedOn w:val="a0"/>
    <w:uiPriority w:val="22"/>
    <w:qFormat/>
    <w:rsid w:val="00945DD7"/>
    <w:rPr>
      <w:b/>
      <w:bCs/>
    </w:rPr>
  </w:style>
  <w:style w:type="character" w:styleId="af7">
    <w:name w:val="Emphasis"/>
    <w:basedOn w:val="a0"/>
    <w:uiPriority w:val="20"/>
    <w:qFormat/>
    <w:rsid w:val="00945DD7"/>
    <w:rPr>
      <w:i/>
      <w:iCs/>
    </w:rPr>
  </w:style>
  <w:style w:type="table" w:styleId="af8">
    <w:name w:val="Table Grid"/>
    <w:basedOn w:val="a1"/>
    <w:uiPriority w:val="39"/>
    <w:rsid w:val="001B53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AC6550"/>
    <w:pPr>
      <w:spacing w:after="100"/>
    </w:pPr>
  </w:style>
  <w:style w:type="paragraph" w:styleId="20">
    <w:name w:val="toc 2"/>
    <w:basedOn w:val="a"/>
    <w:next w:val="a"/>
    <w:autoRedefine/>
    <w:uiPriority w:val="39"/>
    <w:unhideWhenUsed/>
    <w:rsid w:val="00AC6550"/>
    <w:pPr>
      <w:spacing w:after="100"/>
      <w:ind w:left="220"/>
    </w:pPr>
  </w:style>
  <w:style w:type="character" w:styleId="af9">
    <w:name w:val="Hyperlink"/>
    <w:basedOn w:val="a0"/>
    <w:uiPriority w:val="99"/>
    <w:unhideWhenUsed/>
    <w:rsid w:val="00AC6550"/>
    <w:rPr>
      <w:color w:val="0000FF" w:themeColor="hyperlink"/>
      <w:u w:val="single"/>
    </w:rPr>
  </w:style>
  <w:style w:type="paragraph" w:styleId="afa">
    <w:name w:val="No Spacing"/>
    <w:uiPriority w:val="1"/>
    <w:qFormat/>
    <w:rsid w:val="00AC6550"/>
    <w:pPr>
      <w:spacing w:line="240" w:lineRule="auto"/>
    </w:pPr>
  </w:style>
  <w:style w:type="paragraph" w:styleId="afb">
    <w:name w:val="Balloon Text"/>
    <w:basedOn w:val="a"/>
    <w:link w:val="afc"/>
    <w:uiPriority w:val="99"/>
    <w:semiHidden/>
    <w:unhideWhenUsed/>
    <w:rsid w:val="007378A9"/>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7378A9"/>
    <w:rPr>
      <w:rFonts w:ascii="Tahoma" w:hAnsi="Tahoma" w:cs="Tahoma"/>
      <w:sz w:val="16"/>
      <w:szCs w:val="16"/>
    </w:rPr>
  </w:style>
  <w:style w:type="paragraph" w:styleId="afd">
    <w:name w:val="Normal (Web)"/>
    <w:basedOn w:val="a"/>
    <w:uiPriority w:val="99"/>
    <w:unhideWhenUsed/>
    <w:rsid w:val="00E76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_"/>
    <w:link w:val="12"/>
    <w:locked/>
    <w:rsid w:val="006D0182"/>
    <w:rPr>
      <w:b/>
      <w:sz w:val="26"/>
      <w:shd w:val="clear" w:color="auto" w:fill="FFFFFF"/>
    </w:rPr>
  </w:style>
  <w:style w:type="paragraph" w:customStyle="1" w:styleId="12">
    <w:name w:val="Заголовок №1"/>
    <w:basedOn w:val="a"/>
    <w:link w:val="11"/>
    <w:rsid w:val="006D0182"/>
    <w:pPr>
      <w:widowControl w:val="0"/>
      <w:shd w:val="clear" w:color="auto" w:fill="FFFFFF"/>
      <w:spacing w:before="300" w:line="317" w:lineRule="exact"/>
      <w:ind w:hanging="440"/>
      <w:jc w:val="center"/>
      <w:outlineLvl w:val="0"/>
    </w:pPr>
    <w:rPr>
      <w:b/>
      <w:sz w:val="26"/>
    </w:rPr>
  </w:style>
  <w:style w:type="paragraph" w:styleId="afe">
    <w:name w:val="header"/>
    <w:basedOn w:val="a"/>
    <w:link w:val="aff"/>
    <w:uiPriority w:val="99"/>
    <w:semiHidden/>
    <w:unhideWhenUsed/>
    <w:rsid w:val="00BE5786"/>
    <w:pPr>
      <w:tabs>
        <w:tab w:val="center" w:pos="4677"/>
        <w:tab w:val="right" w:pos="9355"/>
      </w:tabs>
      <w:spacing w:line="240" w:lineRule="auto"/>
    </w:pPr>
  </w:style>
  <w:style w:type="character" w:customStyle="1" w:styleId="aff">
    <w:name w:val="Верхний колонтитул Знак"/>
    <w:basedOn w:val="a0"/>
    <w:link w:val="afe"/>
    <w:uiPriority w:val="99"/>
    <w:semiHidden/>
    <w:rsid w:val="00BE5786"/>
  </w:style>
  <w:style w:type="paragraph" w:styleId="aff0">
    <w:name w:val="footer"/>
    <w:basedOn w:val="a"/>
    <w:link w:val="aff1"/>
    <w:uiPriority w:val="99"/>
    <w:semiHidden/>
    <w:unhideWhenUsed/>
    <w:rsid w:val="00BE5786"/>
    <w:pPr>
      <w:tabs>
        <w:tab w:val="center" w:pos="4677"/>
        <w:tab w:val="right" w:pos="9355"/>
      </w:tabs>
      <w:spacing w:line="240" w:lineRule="auto"/>
    </w:pPr>
  </w:style>
  <w:style w:type="character" w:customStyle="1" w:styleId="aff1">
    <w:name w:val="Нижний колонтитул Знак"/>
    <w:basedOn w:val="a0"/>
    <w:link w:val="aff0"/>
    <w:uiPriority w:val="99"/>
    <w:semiHidden/>
    <w:rsid w:val="00BE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2139">
      <w:bodyDiv w:val="1"/>
      <w:marLeft w:val="0"/>
      <w:marRight w:val="0"/>
      <w:marTop w:val="0"/>
      <w:marBottom w:val="0"/>
      <w:divBdr>
        <w:top w:val="none" w:sz="0" w:space="0" w:color="auto"/>
        <w:left w:val="none" w:sz="0" w:space="0" w:color="auto"/>
        <w:bottom w:val="none" w:sz="0" w:space="0" w:color="auto"/>
        <w:right w:val="none" w:sz="0" w:space="0" w:color="auto"/>
      </w:divBdr>
    </w:div>
    <w:div w:id="459425325">
      <w:bodyDiv w:val="1"/>
      <w:marLeft w:val="0"/>
      <w:marRight w:val="0"/>
      <w:marTop w:val="0"/>
      <w:marBottom w:val="0"/>
      <w:divBdr>
        <w:top w:val="none" w:sz="0" w:space="0" w:color="auto"/>
        <w:left w:val="none" w:sz="0" w:space="0" w:color="auto"/>
        <w:bottom w:val="none" w:sz="0" w:space="0" w:color="auto"/>
        <w:right w:val="none" w:sz="0" w:space="0" w:color="auto"/>
      </w:divBdr>
    </w:div>
    <w:div w:id="1118642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2555</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Соболевская</dc:creator>
  <cp:lastModifiedBy>user</cp:lastModifiedBy>
  <cp:revision>6</cp:revision>
  <dcterms:created xsi:type="dcterms:W3CDTF">2020-01-30T13:23:00Z</dcterms:created>
  <dcterms:modified xsi:type="dcterms:W3CDTF">2021-06-24T10:24:00Z</dcterms:modified>
</cp:coreProperties>
</file>